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5B85" w14:textId="77777777" w:rsidR="00DD5FBC" w:rsidRPr="00B32E67" w:rsidRDefault="00FA7A65">
      <w:pPr>
        <w:spacing w:before="191"/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15728640" behindDoc="0" locked="0" layoutInCell="1" allowOverlap="1" wp14:anchorId="4AE8F356" wp14:editId="4AE8F357">
            <wp:simplePos x="0" y="0"/>
            <wp:positionH relativeFrom="page">
              <wp:posOffset>566419</wp:posOffset>
            </wp:positionH>
            <wp:positionV relativeFrom="paragraph">
              <wp:posOffset>12</wp:posOffset>
            </wp:positionV>
            <wp:extent cx="490855" cy="7966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79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E67">
        <w:rPr>
          <w:rFonts w:ascii="Times New Roman" w:hAnsi="Times New Roman" w:cs="Times New Roman"/>
          <w:sz w:val="24"/>
          <w:szCs w:val="24"/>
        </w:rPr>
        <w:t xml:space="preserve">MUĞLA SITKI KOÇMAN ÜNİVERSİTESİ </w:t>
      </w:r>
      <w:r w:rsidR="00412EDB" w:rsidRPr="00B32E67">
        <w:rPr>
          <w:rFonts w:ascii="Times New Roman" w:hAnsi="Times New Roman" w:cs="Times New Roman"/>
          <w:sz w:val="24"/>
          <w:szCs w:val="24"/>
        </w:rPr>
        <w:t>MİMARLIK FAKÜLTESİ</w:t>
      </w:r>
      <w:r w:rsidRPr="00B32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B6524" w14:textId="77777777" w:rsidR="0045337E" w:rsidRPr="00B32E67" w:rsidRDefault="0045337E" w:rsidP="0045337E">
      <w:pPr>
        <w:spacing w:before="191"/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sz w:val="24"/>
          <w:szCs w:val="24"/>
        </w:rPr>
        <w:t>BİRİM KALİTE KOMİSYONU TOPLANTI KARARLARI</w:t>
      </w:r>
    </w:p>
    <w:p w14:paraId="4AE8F32B" w14:textId="5A0D8A3D" w:rsidR="005A48FB" w:rsidRPr="00B32E67" w:rsidRDefault="005A48FB" w:rsidP="00854EA8">
      <w:pPr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</w:p>
    <w:p w14:paraId="4AE8F32E" w14:textId="77777777" w:rsidR="005A48FB" w:rsidRPr="00B32E67" w:rsidRDefault="005A48FB">
      <w:pPr>
        <w:pStyle w:val="GvdeMetni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1"/>
        <w:tblW w:w="0" w:type="auto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6474"/>
      </w:tblGrid>
      <w:tr w:rsidR="005A48FB" w:rsidRPr="00B32E67" w14:paraId="4AE8F331" w14:textId="77777777">
        <w:trPr>
          <w:trHeight w:val="270"/>
        </w:trPr>
        <w:tc>
          <w:tcPr>
            <w:tcW w:w="2741" w:type="dxa"/>
            <w:shd w:val="clear" w:color="auto" w:fill="D9D9D9"/>
          </w:tcPr>
          <w:p w14:paraId="4AE8F32F" w14:textId="77777777" w:rsidR="005A48FB" w:rsidRPr="00B32E67" w:rsidRDefault="00FA7A65">
            <w:pPr>
              <w:pStyle w:val="TableParagraph"/>
              <w:spacing w:before="1" w:line="24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6474" w:type="dxa"/>
          </w:tcPr>
          <w:p w14:paraId="4AE8F330" w14:textId="66027BC0" w:rsidR="005A48FB" w:rsidRPr="00B32E67" w:rsidRDefault="0045337E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17/01/2022</w:t>
            </w:r>
          </w:p>
        </w:tc>
      </w:tr>
      <w:tr w:rsidR="0045337E" w:rsidRPr="00B32E67" w14:paraId="4AE8F334" w14:textId="77777777">
        <w:trPr>
          <w:trHeight w:val="265"/>
        </w:trPr>
        <w:tc>
          <w:tcPr>
            <w:tcW w:w="2741" w:type="dxa"/>
            <w:shd w:val="clear" w:color="auto" w:fill="D9D9D9"/>
          </w:tcPr>
          <w:p w14:paraId="4AE8F332" w14:textId="77777777" w:rsidR="0045337E" w:rsidRPr="00B32E67" w:rsidRDefault="0045337E" w:rsidP="0045337E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6474" w:type="dxa"/>
          </w:tcPr>
          <w:p w14:paraId="4AE8F333" w14:textId="4F2AEDB9" w:rsidR="0045337E" w:rsidRPr="00B32E67" w:rsidRDefault="0045337E" w:rsidP="0045337E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Mimarlık Fakültesi Dekanlığı</w:t>
            </w:r>
          </w:p>
        </w:tc>
      </w:tr>
      <w:tr w:rsidR="0045337E" w:rsidRPr="00B32E67" w14:paraId="4AE8F337" w14:textId="77777777">
        <w:trPr>
          <w:trHeight w:val="273"/>
        </w:trPr>
        <w:tc>
          <w:tcPr>
            <w:tcW w:w="2741" w:type="dxa"/>
            <w:shd w:val="clear" w:color="auto" w:fill="D9D9D9"/>
          </w:tcPr>
          <w:p w14:paraId="4AE8F335" w14:textId="77777777" w:rsidR="0045337E" w:rsidRPr="00B32E67" w:rsidRDefault="0045337E" w:rsidP="0045337E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6474" w:type="dxa"/>
          </w:tcPr>
          <w:p w14:paraId="4AE8F336" w14:textId="71A157CC" w:rsidR="0045337E" w:rsidRPr="00B32E67" w:rsidRDefault="0045337E" w:rsidP="0045337E">
            <w:pPr>
              <w:pStyle w:val="TableParagraph"/>
              <w:spacing w:before="1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2022/3</w:t>
            </w:r>
          </w:p>
        </w:tc>
      </w:tr>
      <w:tr w:rsidR="0045337E" w:rsidRPr="00B32E67" w14:paraId="4AE8F339" w14:textId="77777777">
        <w:trPr>
          <w:trHeight w:val="266"/>
        </w:trPr>
        <w:tc>
          <w:tcPr>
            <w:tcW w:w="9215" w:type="dxa"/>
            <w:gridSpan w:val="2"/>
            <w:shd w:val="clear" w:color="auto" w:fill="D9D9D9"/>
          </w:tcPr>
          <w:p w14:paraId="4AE8F338" w14:textId="77777777" w:rsidR="0045337E" w:rsidRPr="00B32E67" w:rsidRDefault="0045337E" w:rsidP="0045337E">
            <w:pPr>
              <w:pStyle w:val="TableParagraph"/>
              <w:spacing w:line="247" w:lineRule="exact"/>
              <w:ind w:left="2911" w:right="28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Gündem</w:t>
            </w:r>
          </w:p>
        </w:tc>
      </w:tr>
      <w:tr w:rsidR="0045337E" w:rsidRPr="00B32E67" w14:paraId="4AE8F33C" w14:textId="77777777" w:rsidTr="00475934">
        <w:trPr>
          <w:trHeight w:val="422"/>
        </w:trPr>
        <w:tc>
          <w:tcPr>
            <w:tcW w:w="9215" w:type="dxa"/>
            <w:gridSpan w:val="2"/>
          </w:tcPr>
          <w:p w14:paraId="6ED21EF3" w14:textId="582DA7D9" w:rsidR="0045337E" w:rsidRPr="00B32E67" w:rsidRDefault="0045337E" w:rsidP="0045337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2021 Yılı içinde yapılan toplantılarda alınan kararların sonuçlarının görüşülmesi.</w:t>
            </w:r>
          </w:p>
          <w:p w14:paraId="0B6AFA33" w14:textId="0E7D0FC1" w:rsidR="0045337E" w:rsidRPr="00B32E67" w:rsidRDefault="0045337E" w:rsidP="0045337E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Eylem planı hazırlanması.</w:t>
            </w:r>
          </w:p>
          <w:p w14:paraId="4D5FACCC" w14:textId="6A845136" w:rsidR="0045337E" w:rsidRPr="00B32E67" w:rsidRDefault="0045337E" w:rsidP="006C222B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Dış paydaşların belirlenmesi.</w:t>
            </w:r>
          </w:p>
          <w:p w14:paraId="4AE8F33B" w14:textId="12B027F7" w:rsidR="0045337E" w:rsidRPr="00B32E67" w:rsidRDefault="0045337E" w:rsidP="0045337E">
            <w:pPr>
              <w:pStyle w:val="TableParagraph"/>
              <w:tabs>
                <w:tab w:val="left" w:pos="831"/>
              </w:tabs>
              <w:ind w:left="0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7E" w:rsidRPr="00B32E67" w14:paraId="4AE8F33E" w14:textId="77777777">
        <w:trPr>
          <w:trHeight w:val="270"/>
        </w:trPr>
        <w:tc>
          <w:tcPr>
            <w:tcW w:w="9215" w:type="dxa"/>
            <w:gridSpan w:val="2"/>
            <w:shd w:val="clear" w:color="auto" w:fill="D9D9D9"/>
          </w:tcPr>
          <w:p w14:paraId="4AE8F33D" w14:textId="77777777" w:rsidR="0045337E" w:rsidRPr="00B32E67" w:rsidRDefault="0045337E" w:rsidP="0045337E">
            <w:pPr>
              <w:pStyle w:val="TableParagraph"/>
              <w:spacing w:before="2" w:line="248" w:lineRule="exact"/>
              <w:ind w:left="2911" w:right="2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 / Görüşülen Hususlar</w:t>
            </w:r>
          </w:p>
        </w:tc>
      </w:tr>
      <w:tr w:rsidR="0045337E" w:rsidRPr="00B32E67" w14:paraId="4AE8F340" w14:textId="77777777" w:rsidTr="00D6729F">
        <w:trPr>
          <w:trHeight w:val="5915"/>
        </w:trPr>
        <w:tc>
          <w:tcPr>
            <w:tcW w:w="9215" w:type="dxa"/>
            <w:gridSpan w:val="2"/>
          </w:tcPr>
          <w:p w14:paraId="0DE49FBE" w14:textId="77777777" w:rsidR="0045337E" w:rsidRPr="00B32E67" w:rsidRDefault="006C222B" w:rsidP="0045337E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Gündem maddesi 1-</w:t>
            </w:r>
            <w:r w:rsidR="0045337E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B8C" w:rsidRPr="00B32E67">
              <w:rPr>
                <w:rFonts w:ascii="Times New Roman" w:hAnsi="Times New Roman" w:cs="Times New Roman"/>
                <w:sz w:val="24"/>
                <w:szCs w:val="24"/>
              </w:rPr>
              <w:t>Birim Kalite Komisyonu temsilcilerinin kendi birimlerini iyileştirme ve kalite süreçleri ile ilgili aktif olarak bilgilendirilmeleri konusu görüşülmüştü: Birim temsilcileri kendi birimlerini iyileştirme ve kalite süreçleri ile ilgili aktif olarak bilgilendirilerek hedefler belirlenmiştir.</w:t>
            </w:r>
            <w:r w:rsidR="00C32016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0E41D" w14:textId="48E3E16F" w:rsidR="00C32016" w:rsidRPr="00B32E67" w:rsidRDefault="00C32016" w:rsidP="00C3201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Mimarlık Fakültesi zemin katında öğrencilerin,</w:t>
            </w:r>
            <w:r w:rsidR="007F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akademik ve idari personelin kullanabileceği “Dilek-Öneriler” kutusunun yaptırılması ve kalite komisyonu tarafından değerlendirilmesi konusunda karar alınmıştı: Fakültemiz zemin katına “Dilek-Öneriler” kutusu yaptırılmış 17.01.2022 tarihinde “Dilek-Öneri” kutusu açılmış olup herhangi bir dilek ve öneri çıkmamıştır.</w:t>
            </w:r>
          </w:p>
          <w:p w14:paraId="5D4A4288" w14:textId="77777777" w:rsidR="00C32016" w:rsidRPr="00B32E67" w:rsidRDefault="00C32016" w:rsidP="00C3201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Afet konusundaki bilinçlenmenin arttırılması amacıyla düzenlenen “Muğla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Transcripts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in/on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Disasters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Fires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2021” başlıklı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çalıştaya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, fakültemiz öğrencilerinin katılımının teşvik edilmesi kararı alınmıştı: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Çalıştay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kapsamında öğrencilerimizin yangın afeti konusunda bilinçlenmelerinin arttırılması amacıyla, 16.10.2021 tarihinde Marmaris’in Orhaniye ve Bayır köylerine teknik gezi düzenlenmiştir.</w:t>
            </w:r>
          </w:p>
          <w:p w14:paraId="739E7484" w14:textId="3E432F8D" w:rsidR="0032401B" w:rsidRPr="00B32E67" w:rsidRDefault="0032401B" w:rsidP="00C3201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Fakültemiz sorunları</w:t>
            </w:r>
            <w:r w:rsidR="009E412A" w:rsidRPr="00B32E67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tespit edilmesi ve bu yönde iyileştirme yapılması konusu tartışılmış, bu bağlamda öncelikle </w:t>
            </w:r>
            <w:r w:rsidR="007F3E69" w:rsidRPr="00B32E67">
              <w:rPr>
                <w:rFonts w:ascii="Times New Roman" w:hAnsi="Times New Roman" w:cs="Times New Roman"/>
                <w:sz w:val="24"/>
                <w:szCs w:val="24"/>
              </w:rPr>
              <w:t>mekân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ile ilgili sorunların, tespit edilen eksikliklerin giderilmesi kararı alınmıştı: Bu bağlamda </w:t>
            </w:r>
            <w:r w:rsidR="007F3E69">
              <w:rPr>
                <w:rFonts w:ascii="Times New Roman" w:hAnsi="Times New Roman" w:cs="Times New Roman"/>
                <w:sz w:val="24"/>
                <w:szCs w:val="24"/>
              </w:rPr>
              <w:t>Şehir ve Bölge Planlama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E69">
              <w:rPr>
                <w:rFonts w:ascii="Times New Roman" w:hAnsi="Times New Roman" w:cs="Times New Roman"/>
                <w:sz w:val="24"/>
                <w:szCs w:val="24"/>
              </w:rPr>
              <w:t xml:space="preserve">Stüdyo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E69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F3E6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Mavi </w:t>
            </w:r>
            <w:proofErr w:type="spellStart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Çatı’da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bulunan Mimarlık Bölümünce kullanılan Seminer Salonunun prizleri ve elektrik tesisatı yenilenmiştir. Seminer Salonunun yetersiz olan ısıtma sorunu </w:t>
            </w:r>
            <w:proofErr w:type="spellStart"/>
            <w:r w:rsidR="007F3E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nfrared</w:t>
            </w:r>
            <w:proofErr w:type="spellEnd"/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ısıtıcıyla çözülmeye çalışılmıştır.</w:t>
            </w:r>
          </w:p>
          <w:p w14:paraId="2E977CCB" w14:textId="7A2C3228" w:rsidR="0032401B" w:rsidRPr="009D688C" w:rsidRDefault="0032401B" w:rsidP="00C3201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Akreditasyona yönelik ön çalışmaların yapılması konusunda görüşülmüştü:</w:t>
            </w:r>
            <w:r w:rsidR="004170C2">
              <w:rPr>
                <w:rFonts w:ascii="Times New Roman" w:hAnsi="Times New Roman" w:cs="Times New Roman"/>
                <w:sz w:val="24"/>
                <w:szCs w:val="24"/>
              </w:rPr>
              <w:t xml:space="preserve"> Mimarlık Bölümü öz değerlendirme raporu hazırlanmış m</w:t>
            </w:r>
            <w:r w:rsidRPr="009D688C">
              <w:rPr>
                <w:rFonts w:ascii="Times New Roman" w:hAnsi="Times New Roman" w:cs="Times New Roman"/>
                <w:sz w:val="24"/>
                <w:szCs w:val="24"/>
              </w:rPr>
              <w:t>ezun durumunda öğrencimiz olmadığı için çalışmalar 2023 yılına ertelenmiştir.</w:t>
            </w:r>
          </w:p>
          <w:p w14:paraId="5C2C7337" w14:textId="77777777" w:rsidR="0032401B" w:rsidRPr="00B32E67" w:rsidRDefault="0032401B" w:rsidP="00C32016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Mimarlık Fakültesi için iç IP üzerinden bir sanal sunucunun talep edilmesi görüşülmüştü: Sanal sunucu için Bilgi İşlem Dairesi Başkanlığı’na yazı yazılmış, ilgili başkanlık tarafından </w:t>
            </w:r>
            <w:r w:rsidR="00900E0A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tarafımıza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çalışmaların başlatıldığı bilgisi verilmiştir.</w:t>
            </w:r>
          </w:p>
          <w:p w14:paraId="2ECB4F8E" w14:textId="204C965B" w:rsidR="009E412A" w:rsidRPr="00B32E67" w:rsidRDefault="009E412A" w:rsidP="00182D8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37908" w:rsidRPr="00B32E67">
              <w:rPr>
                <w:rFonts w:ascii="Times New Roman" w:hAnsi="Times New Roman" w:cs="Times New Roman"/>
                <w:sz w:val="24"/>
                <w:szCs w:val="24"/>
              </w:rPr>
              <w:t>Fakültemiz a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kademik kadrosunun geliştirilmesi, öğrenci sayısı, ders yükleri ve önümüzdeki yıllarda açılması </w:t>
            </w:r>
            <w:r w:rsidR="00837908" w:rsidRPr="00B32E67">
              <w:rPr>
                <w:rFonts w:ascii="Times New Roman" w:hAnsi="Times New Roman" w:cs="Times New Roman"/>
                <w:sz w:val="24"/>
                <w:szCs w:val="24"/>
              </w:rPr>
              <w:t>planlanan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lisansüstü programlarda </w:t>
            </w:r>
            <w:r w:rsidR="00837908" w:rsidRPr="00B32E67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alacak öğretim eleman sayısının nitelikli biçimde arttırılması kararı alınmıştı: </w:t>
            </w:r>
            <w:r w:rsidR="00837908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Fakültemiz Bölümlerinin görüşleri doğrultusunda Şehir ve Bölge Planlama Bölümü Şehir Planlama Ana Bilim Dalı'na 1 Doktor Öğretim Üyesi ve Mimarlık Bölümü Bina ve Yapı Bilgisi Ana Bilim Dallarına birer Doktor Öğretim Üyesi olmak üzere Fakültemiz için toplam 3 (üç) Doktor Öğretim Üyesi kadrosu ihdas edilmesi </w:t>
            </w:r>
            <w:r w:rsidR="00182D80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Personel Daire Başkanlığı’na 14.01.2022 tarih ve 377200 sayılı </w:t>
            </w:r>
            <w:r w:rsidR="007F3E69" w:rsidRPr="00B32E67">
              <w:rPr>
                <w:rFonts w:ascii="Times New Roman" w:hAnsi="Times New Roman" w:cs="Times New Roman"/>
                <w:sz w:val="24"/>
                <w:szCs w:val="24"/>
              </w:rPr>
              <w:t>üst yazı</w:t>
            </w:r>
            <w:r w:rsidR="00182D80"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ile bildirilmiştir.</w:t>
            </w:r>
          </w:p>
          <w:p w14:paraId="37E0FF04" w14:textId="77777777" w:rsidR="004534F0" w:rsidRPr="00B32E67" w:rsidRDefault="004534F0" w:rsidP="00182D8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Önümüzdeki yıllarda Fakültemizin öğrenci sayısı bölüm sayısı artacağı göz önüne alındığında Fakülte binasının ihtiyacı karşılayamayacağı öngörülmektedir. Buna bağlı olarak mekânsal gereksinimlere yönelik bir altyapının bir </w:t>
            </w:r>
            <w:r w:rsidRPr="00B32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içerisinde sağlanabilmesi konusundaki karar adımları görüşülmüştü: 06.01.2022 tarihinde yapılan Mimarlık Fakültesi Akademik Kurul Toplantısı’nda Mimarlık bölümü için en az 100 kişilik 4 stüdyo, Şehir ve Bölge Planlama Bölümü için 60 kişilik olmak üzere yine 4 stüdyoya ihtiyaç olduğu karar alınmıştır. Bina gereksinimi için Rektörlüğe yazı yazılması kararı verilmiştir.</w:t>
            </w:r>
          </w:p>
          <w:p w14:paraId="14C85FA1" w14:textId="77777777" w:rsidR="00B32E67" w:rsidRDefault="00B32E67" w:rsidP="00182D8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67921" w14:textId="2C3D6DF2" w:rsidR="00B32E67" w:rsidRPr="00B32E67" w:rsidRDefault="00B32E67" w:rsidP="00A30FC4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maddesi 2- </w:t>
            </w:r>
            <w:r w:rsidRPr="00B3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Birim Kalite Komisyonu Yıllık Eylem Planı 2022 yılı Birim Kalite Komisyonu 2. Toplantısına </w:t>
            </w:r>
            <w:r w:rsidR="00A3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kadar </w:t>
            </w:r>
            <w:r w:rsidRPr="00B32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oluşturulmasına karar verilmiştir.</w:t>
            </w:r>
          </w:p>
          <w:p w14:paraId="4AE8F33F" w14:textId="674A221D" w:rsidR="00B32E67" w:rsidRPr="00B32E67" w:rsidRDefault="00B32E67" w:rsidP="007F3E69">
            <w:pPr>
              <w:pStyle w:val="NormalWeb"/>
              <w:spacing w:after="0" w:afterAutospacing="0"/>
              <w:ind w:left="908"/>
              <w:jc w:val="both"/>
            </w:pPr>
            <w:r w:rsidRPr="00B32E67">
              <w:rPr>
                <w:b/>
              </w:rPr>
              <w:t xml:space="preserve">Gündem maddesi 3- </w:t>
            </w:r>
            <w:r w:rsidRPr="00B32E67">
              <w:rPr>
                <w:color w:val="000000"/>
              </w:rPr>
              <w:t xml:space="preserve">Birim dış paydaşları olarak </w:t>
            </w:r>
            <w:r w:rsidR="00A30FC4">
              <w:rPr>
                <w:color w:val="000000"/>
              </w:rPr>
              <w:t>STK’lar (</w:t>
            </w:r>
            <w:r w:rsidRPr="00B32E67">
              <w:rPr>
                <w:color w:val="000000"/>
              </w:rPr>
              <w:t xml:space="preserve">Mimarlar Odası, </w:t>
            </w:r>
            <w:r w:rsidR="00A30FC4">
              <w:rPr>
                <w:color w:val="000000"/>
              </w:rPr>
              <w:t>Şehir Plancıları Odası gibi), yerel yönetim ve idare (</w:t>
            </w:r>
            <w:r w:rsidRPr="00B32E67">
              <w:rPr>
                <w:color w:val="000000"/>
              </w:rPr>
              <w:t xml:space="preserve">Büyükşehir Belediyesi, </w:t>
            </w:r>
            <w:r w:rsidR="00A30FC4">
              <w:rPr>
                <w:color w:val="000000"/>
              </w:rPr>
              <w:t xml:space="preserve">İlçe </w:t>
            </w:r>
            <w:r w:rsidRPr="00B32E67">
              <w:rPr>
                <w:color w:val="000000"/>
              </w:rPr>
              <w:t>Belediye</w:t>
            </w:r>
            <w:r w:rsidR="00A30FC4">
              <w:rPr>
                <w:color w:val="000000"/>
              </w:rPr>
              <w:t>leri</w:t>
            </w:r>
            <w:r w:rsidRPr="00B32E67">
              <w:rPr>
                <w:color w:val="000000"/>
              </w:rPr>
              <w:t xml:space="preserve"> </w:t>
            </w:r>
            <w:r w:rsidR="00A30FC4">
              <w:rPr>
                <w:color w:val="000000"/>
              </w:rPr>
              <w:t xml:space="preserve">ve </w:t>
            </w:r>
            <w:r w:rsidRPr="00B32E67">
              <w:rPr>
                <w:color w:val="000000"/>
              </w:rPr>
              <w:t xml:space="preserve">Çevre Şehircilik Bakanlığı Muğla İl Müdürlüğü </w:t>
            </w:r>
            <w:r w:rsidR="00A30FC4">
              <w:rPr>
                <w:color w:val="000000"/>
              </w:rPr>
              <w:t xml:space="preserve">gibi) birimlerinin ilgili birimleri </w:t>
            </w:r>
            <w:r w:rsidRPr="00B32E67">
              <w:rPr>
                <w:color w:val="000000"/>
              </w:rPr>
              <w:t>olarak belirle</w:t>
            </w:r>
            <w:r w:rsidR="00A30FC4">
              <w:rPr>
                <w:color w:val="000000"/>
              </w:rPr>
              <w:t>nebileceği görüşülmüştür.</w:t>
            </w:r>
            <w:r w:rsidRPr="00B32E67">
              <w:t xml:space="preserve"> </w:t>
            </w:r>
          </w:p>
        </w:tc>
      </w:tr>
    </w:tbl>
    <w:p w14:paraId="4AE8F346" w14:textId="77777777" w:rsidR="005A48FB" w:rsidRPr="00B32E67" w:rsidRDefault="005A48FB">
      <w:pPr>
        <w:pStyle w:val="GvdeMetni"/>
        <w:rPr>
          <w:rFonts w:ascii="Times New Roman" w:hAnsi="Times New Roman" w:cs="Times New Roman"/>
          <w:i w:val="0"/>
          <w:sz w:val="24"/>
          <w:szCs w:val="24"/>
        </w:rPr>
      </w:pPr>
    </w:p>
    <w:p w14:paraId="4AE8F347" w14:textId="77777777" w:rsidR="005A48FB" w:rsidRPr="00B32E67" w:rsidRDefault="005A48FB">
      <w:pPr>
        <w:pStyle w:val="GvdeMetni"/>
        <w:rPr>
          <w:rFonts w:ascii="Times New Roman" w:hAnsi="Times New Roman" w:cs="Times New Roman"/>
          <w:i w:val="0"/>
          <w:sz w:val="24"/>
          <w:szCs w:val="24"/>
        </w:rPr>
      </w:pPr>
    </w:p>
    <w:p w14:paraId="4AE8F348" w14:textId="77777777" w:rsidR="005A48FB" w:rsidRPr="00B32E67" w:rsidRDefault="005A48FB">
      <w:pPr>
        <w:pStyle w:val="GvdeMetni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4AE8F351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AE8F352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</w:p>
    <w:p w14:paraId="4AE8F353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</w:p>
    <w:p w14:paraId="4AE8F354" w14:textId="77777777" w:rsidR="005A48FB" w:rsidRPr="00B32E67" w:rsidRDefault="005A48FB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sectPr w:rsidR="005A48FB" w:rsidRPr="00B32E67">
      <w:type w:val="continuous"/>
      <w:pgSz w:w="11910" w:h="16840"/>
      <w:pgMar w:top="500" w:right="11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3E"/>
    <w:multiLevelType w:val="hybridMultilevel"/>
    <w:tmpl w:val="4E046880"/>
    <w:lvl w:ilvl="0" w:tplc="9698ADA6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65C4690E"/>
    <w:multiLevelType w:val="hybridMultilevel"/>
    <w:tmpl w:val="F36646B8"/>
    <w:lvl w:ilvl="0" w:tplc="7FBA9854">
      <w:start w:val="1"/>
      <w:numFmt w:val="decimal"/>
      <w:lvlText w:val="%1."/>
      <w:lvlJc w:val="left"/>
      <w:pPr>
        <w:ind w:left="83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tr-TR" w:eastAsia="en-US" w:bidi="ar-SA"/>
      </w:rPr>
    </w:lvl>
    <w:lvl w:ilvl="1" w:tplc="44F49D90">
      <w:numFmt w:val="bullet"/>
      <w:lvlText w:val="•"/>
      <w:lvlJc w:val="left"/>
      <w:pPr>
        <w:ind w:left="1676" w:hanging="360"/>
      </w:pPr>
      <w:rPr>
        <w:rFonts w:hint="default"/>
        <w:lang w:val="tr-TR" w:eastAsia="en-US" w:bidi="ar-SA"/>
      </w:rPr>
    </w:lvl>
    <w:lvl w:ilvl="2" w:tplc="0D92036C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9B06D3EE">
      <w:numFmt w:val="bullet"/>
      <w:lvlText w:val="•"/>
      <w:lvlJc w:val="left"/>
      <w:pPr>
        <w:ind w:left="3349" w:hanging="360"/>
      </w:pPr>
      <w:rPr>
        <w:rFonts w:hint="default"/>
        <w:lang w:val="tr-TR" w:eastAsia="en-US" w:bidi="ar-SA"/>
      </w:rPr>
    </w:lvl>
    <w:lvl w:ilvl="4" w:tplc="FE640DD2">
      <w:numFmt w:val="bullet"/>
      <w:lvlText w:val="•"/>
      <w:lvlJc w:val="left"/>
      <w:pPr>
        <w:ind w:left="4186" w:hanging="360"/>
      </w:pPr>
      <w:rPr>
        <w:rFonts w:hint="default"/>
        <w:lang w:val="tr-TR" w:eastAsia="en-US" w:bidi="ar-SA"/>
      </w:rPr>
    </w:lvl>
    <w:lvl w:ilvl="5" w:tplc="79AE9BD8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6" w:tplc="2CBCA946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50B6C86E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8" w:tplc="B070659C">
      <w:numFmt w:val="bullet"/>
      <w:lvlText w:val="•"/>
      <w:lvlJc w:val="left"/>
      <w:pPr>
        <w:ind w:left="753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A8C4322"/>
    <w:multiLevelType w:val="hybridMultilevel"/>
    <w:tmpl w:val="4B4C1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B"/>
    <w:rsid w:val="0005616E"/>
    <w:rsid w:val="00066606"/>
    <w:rsid w:val="00080A2C"/>
    <w:rsid w:val="000B3E0A"/>
    <w:rsid w:val="000E1375"/>
    <w:rsid w:val="00132456"/>
    <w:rsid w:val="00137726"/>
    <w:rsid w:val="00180B40"/>
    <w:rsid w:val="00182D80"/>
    <w:rsid w:val="001F0E43"/>
    <w:rsid w:val="00271070"/>
    <w:rsid w:val="00273B8C"/>
    <w:rsid w:val="00321D8E"/>
    <w:rsid w:val="0032401B"/>
    <w:rsid w:val="00355046"/>
    <w:rsid w:val="00383E58"/>
    <w:rsid w:val="00412EDB"/>
    <w:rsid w:val="004170C2"/>
    <w:rsid w:val="00431923"/>
    <w:rsid w:val="00450A15"/>
    <w:rsid w:val="0045337E"/>
    <w:rsid w:val="004534F0"/>
    <w:rsid w:val="004577F9"/>
    <w:rsid w:val="00475934"/>
    <w:rsid w:val="004A12D9"/>
    <w:rsid w:val="005020AC"/>
    <w:rsid w:val="0050748F"/>
    <w:rsid w:val="0051252D"/>
    <w:rsid w:val="005434AD"/>
    <w:rsid w:val="00580E46"/>
    <w:rsid w:val="005A48FB"/>
    <w:rsid w:val="005D78E8"/>
    <w:rsid w:val="0062272C"/>
    <w:rsid w:val="00687FD0"/>
    <w:rsid w:val="006C222B"/>
    <w:rsid w:val="00734CC8"/>
    <w:rsid w:val="00764645"/>
    <w:rsid w:val="007F3E69"/>
    <w:rsid w:val="008209B8"/>
    <w:rsid w:val="00837908"/>
    <w:rsid w:val="00854EA8"/>
    <w:rsid w:val="008A6128"/>
    <w:rsid w:val="008D314F"/>
    <w:rsid w:val="008F5A29"/>
    <w:rsid w:val="00900E0A"/>
    <w:rsid w:val="00947D6A"/>
    <w:rsid w:val="009D688C"/>
    <w:rsid w:val="009E412A"/>
    <w:rsid w:val="00A30FC4"/>
    <w:rsid w:val="00A6537D"/>
    <w:rsid w:val="00AB79E3"/>
    <w:rsid w:val="00B32E67"/>
    <w:rsid w:val="00B46836"/>
    <w:rsid w:val="00B51786"/>
    <w:rsid w:val="00B60D45"/>
    <w:rsid w:val="00C32016"/>
    <w:rsid w:val="00CD0877"/>
    <w:rsid w:val="00CE1227"/>
    <w:rsid w:val="00D47710"/>
    <w:rsid w:val="00D676BD"/>
    <w:rsid w:val="00DD5FBC"/>
    <w:rsid w:val="00DF6236"/>
    <w:rsid w:val="00E04D29"/>
    <w:rsid w:val="00F06B7B"/>
    <w:rsid w:val="00F278A5"/>
    <w:rsid w:val="00F80628"/>
    <w:rsid w:val="00FA7A65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F32B"/>
  <w15:docId w15:val="{25367159-B909-4DFA-89A7-CEF9CE8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3350" w:right="297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NormalWeb">
    <w:name w:val="Normal (Web)"/>
    <w:basedOn w:val="Normal"/>
    <w:uiPriority w:val="99"/>
    <w:unhideWhenUsed/>
    <w:rsid w:val="00B32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88C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exper</cp:lastModifiedBy>
  <cp:revision>2</cp:revision>
  <cp:lastPrinted>2022-01-26T12:49:00Z</cp:lastPrinted>
  <dcterms:created xsi:type="dcterms:W3CDTF">2022-09-19T08:28:00Z</dcterms:created>
  <dcterms:modified xsi:type="dcterms:W3CDTF">2022-09-19T08:28:00Z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2021-10-08T00:00:00Z</vt:filetime>
  </property>
</Properties>
</file>